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F8" w:rsidRPr="002A206A" w:rsidRDefault="004032AA" w:rsidP="00C64BEC">
      <w:pPr>
        <w:pStyle w:val="Ttulo1"/>
        <w:shd w:val="clear" w:color="auto" w:fill="FFFFFF"/>
        <w:spacing w:before="480" w:after="120" w:line="335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</w:pP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Awake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Prone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Positioning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in COVID-19: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Signal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or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Noise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?</w:t>
      </w:r>
    </w:p>
    <w:p w:rsidR="00F678F8" w:rsidRPr="002A206A" w:rsidRDefault="004032AA" w:rsidP="00C64BEC">
      <w:pPr>
        <w:shd w:val="clear" w:color="auto" w:fill="FFFFFF"/>
        <w:spacing w:line="240" w:lineRule="auto"/>
        <w:jc w:val="both"/>
        <w:rPr>
          <w:rFonts w:asciiTheme="majorHAnsi" w:eastAsia="Arial" w:hAnsiTheme="majorHAnsi" w:cstheme="majorHAnsi"/>
          <w:color w:val="323A45"/>
          <w:sz w:val="24"/>
          <w:szCs w:val="24"/>
          <w:highlight w:val="white"/>
        </w:rPr>
      </w:pP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Affiliations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323A45"/>
          <w:sz w:val="24"/>
          <w:szCs w:val="24"/>
          <w:highlight w:val="white"/>
        </w:rPr>
        <w:t>expand</w:t>
      </w:r>
      <w:proofErr w:type="spellEnd"/>
    </w:p>
    <w:p w:rsidR="00F678F8" w:rsidRPr="002A206A" w:rsidRDefault="004032AA" w:rsidP="00C64BEC">
      <w:pPr>
        <w:shd w:val="clear" w:color="auto" w:fill="FFFFFF"/>
        <w:spacing w:after="0" w:line="240" w:lineRule="auto"/>
        <w:jc w:val="both"/>
        <w:rPr>
          <w:rFonts w:asciiTheme="majorHAnsi" w:eastAsia="Arial" w:hAnsiTheme="majorHAnsi" w:cstheme="majorHAnsi"/>
          <w:i/>
          <w:color w:val="5B616B"/>
          <w:sz w:val="24"/>
          <w:szCs w:val="24"/>
        </w:rPr>
      </w:pPr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 xml:space="preserve">No </w:t>
      </w:r>
      <w:proofErr w:type="spellStart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>abstract</w:t>
      </w:r>
      <w:proofErr w:type="spellEnd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>available</w:t>
      </w:r>
      <w:proofErr w:type="spellEnd"/>
    </w:p>
    <w:p w:rsidR="00C64BEC" w:rsidRPr="002A206A" w:rsidRDefault="00C64BEC" w:rsidP="00C64B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678F8" w:rsidRPr="002A206A" w:rsidRDefault="004032AA" w:rsidP="00C64BEC">
      <w:pPr>
        <w:pStyle w:val="Ttulo1"/>
        <w:shd w:val="clear" w:color="auto" w:fill="FFFFFF"/>
        <w:spacing w:before="480" w:after="120" w:line="335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</w:pPr>
      <w:bookmarkStart w:id="0" w:name="_heading=h.tkmjzbrioh37" w:colFirst="0" w:colLast="0"/>
      <w:bookmarkEnd w:id="0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Cerebral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Autosomal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Dominant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Arteriopathy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Subcortical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Infarcts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and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Leukoencephalopathy</w:t>
      </w:r>
      <w:proofErr w:type="spellEnd"/>
    </w:p>
    <w:p w:rsidR="00F678F8" w:rsidRPr="002A206A" w:rsidRDefault="004032AA" w:rsidP="00C64BEC">
      <w:pPr>
        <w:shd w:val="clear" w:color="auto" w:fill="FFFFFF"/>
        <w:spacing w:line="240" w:lineRule="auto"/>
        <w:jc w:val="both"/>
        <w:rPr>
          <w:rFonts w:asciiTheme="majorHAnsi" w:eastAsia="Arial" w:hAnsiTheme="majorHAnsi" w:cstheme="majorHAnsi"/>
          <w:color w:val="323A45"/>
          <w:sz w:val="24"/>
          <w:szCs w:val="24"/>
          <w:highlight w:val="white"/>
        </w:rPr>
      </w:pP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Affiliations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323A45"/>
          <w:sz w:val="24"/>
          <w:szCs w:val="24"/>
          <w:highlight w:val="white"/>
        </w:rPr>
        <w:t>expand</w:t>
      </w:r>
      <w:proofErr w:type="spellEnd"/>
    </w:p>
    <w:p w:rsidR="00F678F8" w:rsidRPr="002A206A" w:rsidRDefault="004032AA" w:rsidP="00C64BEC">
      <w:pPr>
        <w:shd w:val="clear" w:color="auto" w:fill="FFFFFF"/>
        <w:spacing w:after="0" w:line="240" w:lineRule="auto"/>
        <w:jc w:val="both"/>
        <w:rPr>
          <w:rFonts w:asciiTheme="majorHAnsi" w:eastAsia="Arial" w:hAnsiTheme="majorHAnsi" w:cstheme="majorHAnsi"/>
          <w:i/>
          <w:color w:val="5B616B"/>
          <w:sz w:val="24"/>
          <w:szCs w:val="24"/>
        </w:rPr>
      </w:pPr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 xml:space="preserve">No </w:t>
      </w:r>
      <w:proofErr w:type="spellStart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>abstract</w:t>
      </w:r>
      <w:proofErr w:type="spellEnd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>available</w:t>
      </w:r>
      <w:proofErr w:type="spellEnd"/>
    </w:p>
    <w:p w:rsidR="00C64BEC" w:rsidRPr="002A206A" w:rsidRDefault="00C64BEC" w:rsidP="00C64B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678F8" w:rsidRPr="002A206A" w:rsidRDefault="004032AA" w:rsidP="00C64BEC">
      <w:pPr>
        <w:pStyle w:val="Ttulo1"/>
        <w:shd w:val="clear" w:color="auto" w:fill="FFFFFF"/>
        <w:spacing w:before="480" w:after="120" w:line="335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</w:pPr>
      <w:bookmarkStart w:id="1" w:name="_heading=h.5fp7pmpyxwf1" w:colFirst="0" w:colLast="0"/>
      <w:bookmarkEnd w:id="1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Bilateral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Earlobe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Crease (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Frank's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Sign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) and Multifocal Vascular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Disease</w:t>
      </w:r>
      <w:proofErr w:type="spellEnd"/>
    </w:p>
    <w:p w:rsidR="00F678F8" w:rsidRPr="002A206A" w:rsidRDefault="004032AA" w:rsidP="00C64BEC">
      <w:pPr>
        <w:shd w:val="clear" w:color="auto" w:fill="FFFFFF"/>
        <w:spacing w:line="240" w:lineRule="auto"/>
        <w:jc w:val="both"/>
        <w:rPr>
          <w:rFonts w:asciiTheme="majorHAnsi" w:eastAsia="Arial" w:hAnsiTheme="majorHAnsi" w:cstheme="majorHAnsi"/>
          <w:color w:val="323A45"/>
          <w:sz w:val="24"/>
          <w:szCs w:val="24"/>
          <w:highlight w:val="white"/>
        </w:rPr>
      </w:pP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Affiliations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323A45"/>
          <w:sz w:val="24"/>
          <w:szCs w:val="24"/>
          <w:highlight w:val="white"/>
        </w:rPr>
        <w:t>expand</w:t>
      </w:r>
      <w:proofErr w:type="spellEnd"/>
    </w:p>
    <w:p w:rsidR="00F678F8" w:rsidRPr="002A206A" w:rsidRDefault="004032AA" w:rsidP="00C64BEC">
      <w:pPr>
        <w:shd w:val="clear" w:color="auto" w:fill="FFFFFF"/>
        <w:spacing w:after="0" w:line="240" w:lineRule="auto"/>
        <w:jc w:val="both"/>
        <w:rPr>
          <w:rFonts w:asciiTheme="majorHAnsi" w:eastAsia="Arial" w:hAnsiTheme="majorHAnsi" w:cstheme="majorHAnsi"/>
          <w:i/>
          <w:color w:val="5B616B"/>
          <w:sz w:val="24"/>
          <w:szCs w:val="24"/>
        </w:rPr>
      </w:pPr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 xml:space="preserve">No </w:t>
      </w:r>
      <w:proofErr w:type="spellStart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>abstract</w:t>
      </w:r>
      <w:proofErr w:type="spellEnd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i/>
          <w:color w:val="5B616B"/>
          <w:sz w:val="24"/>
          <w:szCs w:val="24"/>
        </w:rPr>
        <w:t>available</w:t>
      </w:r>
      <w:proofErr w:type="spellEnd"/>
    </w:p>
    <w:p w:rsidR="00C64BEC" w:rsidRPr="002A206A" w:rsidRDefault="00C64BEC" w:rsidP="00C64B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678F8" w:rsidRPr="002A206A" w:rsidRDefault="004032AA" w:rsidP="00C64BEC">
      <w:pPr>
        <w:pStyle w:val="Ttulo1"/>
        <w:shd w:val="clear" w:color="auto" w:fill="FFFFFF"/>
        <w:spacing w:before="480" w:after="120"/>
        <w:jc w:val="both"/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</w:pP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Azole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antifungals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susceptibility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Candida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spp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. </w:t>
      </w:r>
      <w:proofErr w:type="spellStart"/>
      <w:proofErr w:type="gram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isolates</w:t>
      </w:r>
      <w:proofErr w:type="spellEnd"/>
      <w:proofErr w:type="gram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from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HIV-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infected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periodontitis</w:t>
      </w:r>
    </w:p>
    <w:p w:rsidR="00F678F8" w:rsidRPr="002A206A" w:rsidRDefault="004032AA" w:rsidP="00C64BEC">
      <w:pPr>
        <w:pStyle w:val="Ttulo2"/>
        <w:shd w:val="clear" w:color="auto" w:fill="FFFFFF"/>
        <w:spacing w:before="360" w:after="80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bookmarkStart w:id="2" w:name="_heading=h.d1diy6dpcvyd" w:colFirst="0" w:colLast="0"/>
      <w:bookmarkEnd w:id="2"/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Abstract</w:t>
      </w:r>
      <w:proofErr w:type="spellEnd"/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Objective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objective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present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study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was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to determine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 vitro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Azole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antifungals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susceptibility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Candida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spp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proofErr w:type="gram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strains</w:t>
      </w:r>
      <w:proofErr w:type="spellEnd"/>
      <w:proofErr w:type="gram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isolated</w:t>
      </w:r>
      <w:bookmarkStart w:id="3" w:name="_GoBack"/>
      <w:bookmarkEnd w:id="3"/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from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HIV-positive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periodontitis.</w:t>
      </w:r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Methods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tag w:val="goog_rdk_0"/>
          <w:id w:val="680776542"/>
        </w:sdtPr>
        <w:sdtEndPr/>
        <w:sdtContent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Oral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examination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was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performed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in 500 HIV-positive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of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which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228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were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included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in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study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for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having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periodontitis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which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and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separated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in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two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groups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based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their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TCD4+ T-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cells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: (A) n = 110 (≤200 CD4+); (B) n = 118 (&gt;200 CD4+).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Candida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spp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. </w:t>
          </w:r>
          <w:proofErr w:type="spellStart"/>
          <w:proofErr w:type="gram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were</w:t>
          </w:r>
          <w:proofErr w:type="spellEnd"/>
          <w:proofErr w:type="gram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isolated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from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subgingival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biofilm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and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crevicular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fluid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by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seeding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CHROMagar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plates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and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confirmed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by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endpoint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PCR and MALDI-TOF.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susceptibility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test in vitro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for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five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antifungals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was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performed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using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disc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diffusion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method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.</w:t>
          </w:r>
        </w:sdtContent>
      </w:sdt>
    </w:p>
    <w:p w:rsidR="00C64BEC" w:rsidRPr="002A206A" w:rsidRDefault="00C64BEC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b/>
          <w:color w:val="212121"/>
          <w:sz w:val="24"/>
          <w:szCs w:val="24"/>
        </w:rPr>
      </w:pPr>
    </w:p>
    <w:p w:rsidR="00C64BEC" w:rsidRPr="002A206A" w:rsidRDefault="00C64BEC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b/>
          <w:color w:val="212121"/>
          <w:sz w:val="24"/>
          <w:szCs w:val="24"/>
        </w:rPr>
      </w:pPr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lastRenderedPageBreak/>
        <w:t>Results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From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228 HIV-positive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periodontitis, 174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positive to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Candida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spp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., and 204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isolations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obtained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138 (67.64%)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C.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albicans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and 66 (32.35%)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Candida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non-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albicans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species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most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frequent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Candida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non-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albicans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species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order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frequency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C.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glabrata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48 (23.52%), C.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tropicalis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10 (4.9%), C.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krusei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7 (3.43%), and C.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dubliniensis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1 (0.49%).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All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species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presented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resistance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to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antifungal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: 149 to 5-fluorocytosine (73.0%), 149 to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fluconazole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(73.0%), and 144 to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voriconazole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(70.7%).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Miconazole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and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econazole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presented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highest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susceptibility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rates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129 (63.2%) and 130 (63.7%)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isolations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respectively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.</w:t>
      </w:r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05493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Conclusion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Candida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spp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proofErr w:type="gram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involved</w:t>
      </w:r>
      <w:proofErr w:type="spellEnd"/>
      <w:proofErr w:type="gram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 periodontitis of HIV-positive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have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multi-resistant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feature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necessary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to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implement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recurrent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research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regarding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antifungal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resistance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Candida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spp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proofErr w:type="gram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that</w:t>
      </w:r>
      <w:proofErr w:type="spellEnd"/>
      <w:proofErr w:type="gram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take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part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 periodontitis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pathogenesis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to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promote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effective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treatment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 HIV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.</w:t>
      </w:r>
    </w:p>
    <w:p w:rsidR="00C64BEC" w:rsidRPr="002A206A" w:rsidRDefault="00C64BEC" w:rsidP="00C64BEC">
      <w:pPr>
        <w:pStyle w:val="Ttulo1"/>
        <w:shd w:val="clear" w:color="auto" w:fill="FFFFFF"/>
        <w:spacing w:before="480" w:after="120"/>
        <w:jc w:val="both"/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</w:pPr>
      <w:bookmarkStart w:id="4" w:name="_heading=h.d8phi01t4cqp" w:colFirst="0" w:colLast="0"/>
      <w:bookmarkEnd w:id="4"/>
    </w:p>
    <w:p w:rsidR="00F678F8" w:rsidRPr="002A206A" w:rsidRDefault="004032AA" w:rsidP="00C64BEC">
      <w:pPr>
        <w:pStyle w:val="Ttulo1"/>
        <w:shd w:val="clear" w:color="auto" w:fill="FFFFFF"/>
        <w:spacing w:before="480" w:after="120"/>
        <w:jc w:val="both"/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</w:pP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neurocritical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care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ENIO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international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prospective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study</w:t>
      </w:r>
      <w:proofErr w:type="spellEnd"/>
    </w:p>
    <w:p w:rsidR="00F678F8" w:rsidRPr="002A206A" w:rsidRDefault="004032AA" w:rsidP="00C64BEC">
      <w:pPr>
        <w:pStyle w:val="Ttulo2"/>
        <w:shd w:val="clear" w:color="auto" w:fill="FFFFFF"/>
        <w:spacing w:before="360" w:after="80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bookmarkStart w:id="5" w:name="_heading=h.vc0xnw16drd1" w:colFirst="0" w:colLast="0"/>
      <w:bookmarkEnd w:id="5"/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Abstract</w:t>
      </w:r>
      <w:proofErr w:type="spellEnd"/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Purpose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Neurocritical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receive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prolonged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invasive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mechanical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ventilation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(IMV),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but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poor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specific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information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high-risk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population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about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liberation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strategies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invasive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mechanical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ventilation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.</w:t>
      </w:r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Methods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tag w:val="goog_rdk_1"/>
          <w:id w:val="360404043"/>
        </w:sdtPr>
        <w:sdtEndPr/>
        <w:sdtContent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international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prospective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observational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study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in 73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intensive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care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units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ICUs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) in 18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countries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from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2018 to 2020.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Neurocritical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care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with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 Glasgow Coma Score (GCS) ≤ 12,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receiving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IMV ≥ 24 h,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undergoing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extubation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attempt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or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tracheostomy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were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included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primary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endpoint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was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extubation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failure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by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day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5.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extubation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success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prediction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score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was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created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with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2/3 of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randomly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allocated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to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training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cohort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and 1/3 to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validation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cohort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Secondary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endpoints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were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duration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of IMV and in-ICU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mortality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.</w:t>
          </w:r>
        </w:sdtContent>
      </w:sdt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Results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1512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included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Among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1193 (78.9%)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who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underwent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attempt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231 (19.4%)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failures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recorded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score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for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successful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prediction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retained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20 variables as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independent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predictors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area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under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curve (AUC)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training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cohort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was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0.79 95%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confidence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interval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(CI95) [0.71-0.87] and 0.71 CI95 [0.61-0.81]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validation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cohort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failure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displayed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longer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IMV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duration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(14 [7-21] vs 6 [3-11]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days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) and a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higher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in-ICU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mortality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rate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(8.7% vs 2.4%).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Three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hundred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and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nineteen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(21.1%)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underwent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tracheostomy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without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attempt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direct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tracheostomy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displayed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longer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duration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of IMV and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higher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in-ICU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mortality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than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attempt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success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and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failure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).</w:t>
      </w:r>
    </w:p>
    <w:p w:rsidR="00C64BEC" w:rsidRPr="002A206A" w:rsidRDefault="00C64BEC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Conclusions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neurocritical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failure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high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and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associated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unfavourable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outcomes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A score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could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predict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success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multiple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settings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However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will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be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mandatory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to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validate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our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findings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another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prospective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independent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cohort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.</w:t>
      </w:r>
    </w:p>
    <w:p w:rsidR="00C64BEC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Keywords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Brain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injury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;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Extubation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;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Intra-cranial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haemorrhage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;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Tracheostomy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;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Traumatic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brain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injury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.</w:t>
      </w:r>
    </w:p>
    <w:p w:rsidR="00C64BEC" w:rsidRPr="002A206A" w:rsidRDefault="00C64BEC" w:rsidP="00C64BEC">
      <w:pPr>
        <w:pStyle w:val="Ttulo1"/>
        <w:shd w:val="clear" w:color="auto" w:fill="FFFFFF"/>
        <w:spacing w:before="480" w:after="120"/>
        <w:jc w:val="both"/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</w:pPr>
      <w:bookmarkStart w:id="6" w:name="_heading=h.f5vniy3b7kk7" w:colFirst="0" w:colLast="0"/>
      <w:bookmarkEnd w:id="6"/>
    </w:p>
    <w:p w:rsidR="00F678F8" w:rsidRPr="002A206A" w:rsidRDefault="004032AA" w:rsidP="00C64BEC">
      <w:pPr>
        <w:pStyle w:val="Ttulo1"/>
        <w:shd w:val="clear" w:color="auto" w:fill="FFFFFF"/>
        <w:spacing w:before="480" w:after="120"/>
        <w:jc w:val="both"/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</w:pP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Nivolumab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plus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rucaparib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for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metastatic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castration-resistant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prostate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cancer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results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from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phase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2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>CheckMate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  <w:highlight w:val="white"/>
        </w:rPr>
        <w:t xml:space="preserve"> 9KD trial</w:t>
      </w:r>
    </w:p>
    <w:p w:rsidR="00F678F8" w:rsidRPr="002A206A" w:rsidRDefault="004032AA" w:rsidP="00C64BEC">
      <w:pPr>
        <w:pStyle w:val="Ttulo2"/>
        <w:shd w:val="clear" w:color="auto" w:fill="FFFFFF"/>
        <w:spacing w:before="360" w:after="80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bookmarkStart w:id="7" w:name="_heading=h.54pilsvrc08p" w:colFirst="0" w:colLast="0"/>
      <w:bookmarkEnd w:id="7"/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Abstract</w:t>
      </w:r>
      <w:proofErr w:type="spellEnd"/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Background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="00C64BEC"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CheckMate</w:t>
      </w:r>
      <w:proofErr w:type="spellEnd"/>
      <w:r w:rsidR="00C64BEC"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="00C64BEC"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</w:t>
      </w:r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 non-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randomized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multicohort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phase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2 trial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nivolumab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plus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other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anticancer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treatments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for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metastatic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castration-resistant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prostate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cancer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mCRPC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).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report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results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from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cohorts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A1 and A2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CheckMate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9KD,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specifically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evaluating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nivolumab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plus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rucaparib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.</w:t>
      </w:r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Methods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tag w:val="goog_rdk_2"/>
          <w:id w:val="611707290"/>
        </w:sdtPr>
        <w:sdtEndPr/>
        <w:sdtContent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CheckMate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9KD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enrolled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adult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with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histologically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confirmed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mCRPC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ongoing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androgen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deprivation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therapy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and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Eastern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Cooperative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Oncology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Group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performance status of 0-1.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Cohort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A1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included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with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postchemotherapy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mCRPC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(1-2 prior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taxane-based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regimens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) and ≤2 prior novel hormonal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therapies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abiraterone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enzalutamide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apalutamide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);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cohort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A2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included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with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chemotherapy-naïve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mCRPC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and prior novel hormonal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therapy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received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nivolumab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480 mg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every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4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weeks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plus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rucaparib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600 mg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two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times per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day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nivolumab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dosing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≤2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years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).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Coprimary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endpoints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were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objective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response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rate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(ORR) per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Prostate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Cancer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Clinical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Trials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Working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Group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3 and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prostate-specific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antigen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response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rate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(PSA50-RR; ≥50% PSA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reduction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) in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all-treated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and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patients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with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homologous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recombination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deficiency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(HRD)-positive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tumors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determined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before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enrollment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.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Secondary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endpoints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included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radiographic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progression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-free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survival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rPFS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),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overall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</w:t>
          </w:r>
          <w:proofErr w:type="spellStart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>survival</w:t>
          </w:r>
          <w:proofErr w:type="spellEnd"/>
          <w:r w:rsidRPr="002A206A">
            <w:rPr>
              <w:rFonts w:asciiTheme="majorHAnsi" w:eastAsia="Arial Unicode MS" w:hAnsiTheme="majorHAnsi" w:cstheme="majorHAnsi"/>
              <w:color w:val="212121"/>
              <w:sz w:val="24"/>
              <w:szCs w:val="24"/>
            </w:rPr>
            <w:t xml:space="preserve"> (OS), and safety.</w:t>
          </w:r>
        </w:sdtContent>
      </w:sdt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Results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Outcomes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(95% CI)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among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all-treated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HRD-positive, and </w:t>
      </w:r>
      <w:r w:rsidRPr="002A206A">
        <w:rPr>
          <w:rFonts w:asciiTheme="majorHAnsi" w:eastAsia="Arial" w:hAnsiTheme="majorHAnsi" w:cstheme="majorHAnsi"/>
          <w:i/>
          <w:color w:val="212121"/>
          <w:sz w:val="24"/>
          <w:szCs w:val="24"/>
        </w:rPr>
        <w:t>BRCA1/2</w:t>
      </w:r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-positive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populations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for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cohort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A1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confirmed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ORR: 10.3% (3.9-21.2) (n=58), 17.2% (5.8-35.8) (n=29), and 33.3% (7.5-70.1) (n=9);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confirmed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PSA50-RR: 11.9% (5.9-20.8) (n=84), 18.2% (8.2-32.7) (n=44), and 41.7% (15.2-72.3) (n=12); median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rPFS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: 4.9 (3.7-5.7) (n=88), 5.8 (3.7-8.4) (n=45), and 5.6 (2.8-15.7) (n=12)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months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; and median OS: 13.9 (10.4-15.8) (n=88), 15.4 (11.4-18.2) (n=45), and 15.2 (3.0-not estimable) (n=12)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months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For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cohort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A2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confirmed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ORR: 15.4% (5.9-30.5) (n=39), 25.0% (8.7-49.1) (n=20), and 33.3% (7.5-70.1) (n=9);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confirmed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PSA50-RR: 27.3% (17.0-39.6) (n=66), 41.9 (24.5-60.9) (n=31), and 84.6% (54.6-98.1) (n=13); median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rPFS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: 8.1 (5.6-10.9) </w:t>
      </w:r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lastRenderedPageBreak/>
        <w:t xml:space="preserve">(n=71), 10.9 (6.7-12.0) (n=34), and 10.9 (5.6-12.0) (n=15)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months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; and median OS: 20.2 (14.1-22.8) (n=71), 22.7 (14.1-not estimable) (n=34), and 20.2 (11.1-not estimable) (n=15)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months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cohorts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A1 and A2,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respectively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most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common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any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-grade and grade 3-4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treatment-related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adverse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events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(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TRAEs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)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nausea (40.9% and 40.8%) and anemia (20.5% and 14.1%).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Discontinuation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rates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due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to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TRAEs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were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27.3% and 23.9%,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respectively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.</w:t>
      </w:r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Conclusions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Nivolumab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plus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rucaparib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active in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patients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HRD-positive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postchemotherapy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chemotherapy-naïve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mCRPC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particularly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those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harboring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r w:rsidRPr="002A206A">
        <w:rPr>
          <w:rFonts w:asciiTheme="majorHAnsi" w:eastAsia="Arial" w:hAnsiTheme="majorHAnsi" w:cstheme="majorHAnsi"/>
          <w:i/>
          <w:color w:val="212121"/>
          <w:sz w:val="24"/>
          <w:szCs w:val="24"/>
        </w:rPr>
        <w:t>BRCA1/2</w:t>
      </w:r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mutations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Safety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was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as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expected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with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no new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signals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identified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.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Whether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addition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of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nivolumab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incrementally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improves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outcomes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versus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rucaparib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alone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cannot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be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determined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from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this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trial.</w:t>
      </w:r>
    </w:p>
    <w:p w:rsidR="00F678F8" w:rsidRPr="002A206A" w:rsidRDefault="004032AA" w:rsidP="00C64BEC">
      <w:pPr>
        <w:shd w:val="clear" w:color="auto" w:fill="FFFFFF"/>
        <w:spacing w:before="280" w:after="280" w:line="240" w:lineRule="auto"/>
        <w:jc w:val="both"/>
        <w:rPr>
          <w:rFonts w:asciiTheme="majorHAnsi" w:eastAsia="Arial" w:hAnsiTheme="majorHAnsi" w:cstheme="majorHAnsi"/>
          <w:color w:val="212121"/>
          <w:sz w:val="24"/>
          <w:szCs w:val="24"/>
        </w:rPr>
      </w:pPr>
      <w:proofErr w:type="spellStart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>Keywords</w:t>
      </w:r>
      <w:proofErr w:type="spellEnd"/>
      <w:r w:rsidRPr="002A206A">
        <w:rPr>
          <w:rFonts w:asciiTheme="majorHAnsi" w:eastAsia="Arial" w:hAnsiTheme="majorHAnsi" w:cstheme="majorHAnsi"/>
          <w:b/>
          <w:color w:val="212121"/>
          <w:sz w:val="24"/>
          <w:szCs w:val="24"/>
        </w:rPr>
        <w:t xml:space="preserve">: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Clinical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Trials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,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Phase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 II as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Topic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 xml:space="preserve">; </w:t>
      </w:r>
      <w:proofErr w:type="spellStart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Immunotherapy</w:t>
      </w:r>
      <w:proofErr w:type="spellEnd"/>
      <w:r w:rsidRPr="002A206A">
        <w:rPr>
          <w:rFonts w:asciiTheme="majorHAnsi" w:eastAsia="Arial" w:hAnsiTheme="majorHAnsi" w:cstheme="majorHAnsi"/>
          <w:color w:val="212121"/>
          <w:sz w:val="24"/>
          <w:szCs w:val="24"/>
        </w:rPr>
        <w:t>.</w:t>
      </w:r>
    </w:p>
    <w:p w:rsidR="00F678F8" w:rsidRPr="002A206A" w:rsidRDefault="00F678F8" w:rsidP="00C64B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eastAsia="Arial" w:hAnsiTheme="majorHAnsi" w:cstheme="majorHAnsi"/>
          <w:color w:val="205493"/>
          <w:sz w:val="24"/>
          <w:szCs w:val="24"/>
        </w:rPr>
      </w:pPr>
    </w:p>
    <w:sectPr w:rsidR="00F678F8" w:rsidRPr="002A206A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AA" w:rsidRDefault="004032AA">
      <w:pPr>
        <w:spacing w:after="0" w:line="240" w:lineRule="auto"/>
      </w:pPr>
      <w:r>
        <w:separator/>
      </w:r>
    </w:p>
  </w:endnote>
  <w:endnote w:type="continuationSeparator" w:id="0">
    <w:p w:rsidR="004032AA" w:rsidRDefault="0040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F8" w:rsidRDefault="004032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-1030604</wp:posOffset>
          </wp:positionH>
          <wp:positionV relativeFrom="paragraph">
            <wp:posOffset>-429893</wp:posOffset>
          </wp:positionV>
          <wp:extent cx="7671435" cy="948690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1435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AA" w:rsidRDefault="004032AA">
      <w:pPr>
        <w:spacing w:after="0" w:line="240" w:lineRule="auto"/>
      </w:pPr>
      <w:r>
        <w:separator/>
      </w:r>
    </w:p>
  </w:footnote>
  <w:footnote w:type="continuationSeparator" w:id="0">
    <w:p w:rsidR="004032AA" w:rsidRDefault="0040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F8" w:rsidRDefault="004032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rFonts w:eastAsia="Cambria"/>
        <w:color w:val="000000"/>
      </w:rPr>
      <w:t>[Escriba texto][Escriba texto][Escriba texto]</w:t>
    </w:r>
  </w:p>
  <w:p w:rsidR="00F678F8" w:rsidRDefault="00F67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F8" w:rsidRDefault="004032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-982979</wp:posOffset>
          </wp:positionH>
          <wp:positionV relativeFrom="paragraph">
            <wp:posOffset>-447039</wp:posOffset>
          </wp:positionV>
          <wp:extent cx="7494905" cy="76454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4905" cy="764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048"/>
    <w:multiLevelType w:val="multilevel"/>
    <w:tmpl w:val="E7068E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121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613A93"/>
    <w:multiLevelType w:val="multilevel"/>
    <w:tmpl w:val="CCD6CB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121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5304A7"/>
    <w:multiLevelType w:val="multilevel"/>
    <w:tmpl w:val="78E8D7E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121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D58DE"/>
    <w:multiLevelType w:val="multilevel"/>
    <w:tmpl w:val="0EE0020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121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1C5679"/>
    <w:multiLevelType w:val="multilevel"/>
    <w:tmpl w:val="4AEE251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121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522F1E"/>
    <w:multiLevelType w:val="multilevel"/>
    <w:tmpl w:val="7BB8C38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121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F8"/>
    <w:rsid w:val="002A206A"/>
    <w:rsid w:val="004032AA"/>
    <w:rsid w:val="00C64BEC"/>
    <w:rsid w:val="00F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7ECE6-4B52-4B15-A4B7-74D67F0D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s-ES_tradnl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7F"/>
    <w:rPr>
      <w:rFonts w:eastAsiaTheme="minorHAnsi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5052A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link w:val="Ttulo2Car"/>
    <w:uiPriority w:val="9"/>
    <w:qFormat/>
    <w:rsid w:val="005052A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28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adecuadrcula4-nfasis61">
    <w:name w:val="Tabla de cuadrícula 4 - Énfasis 61"/>
    <w:basedOn w:val="Tablanormal"/>
    <w:uiPriority w:val="49"/>
    <w:rsid w:val="00A8677F"/>
    <w:rPr>
      <w:rFonts w:eastAsiaTheme="minorHAnsi"/>
      <w:lang w:val="es-ES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8677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052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052A4"/>
    <w:rPr>
      <w:rFonts w:ascii="Times New Roman" w:hAnsi="Times New Roman" w:cs="Times New Roman"/>
      <w:b/>
      <w:bCs/>
      <w:sz w:val="36"/>
      <w:szCs w:val="36"/>
    </w:rPr>
  </w:style>
  <w:style w:type="character" w:customStyle="1" w:styleId="period">
    <w:name w:val="period"/>
    <w:basedOn w:val="Fuentedeprrafopredeter"/>
    <w:rsid w:val="005052A4"/>
  </w:style>
  <w:style w:type="character" w:customStyle="1" w:styleId="cit">
    <w:name w:val="cit"/>
    <w:basedOn w:val="Fuentedeprrafopredeter"/>
    <w:rsid w:val="005052A4"/>
  </w:style>
  <w:style w:type="character" w:customStyle="1" w:styleId="citation-doi">
    <w:name w:val="citation-doi"/>
    <w:basedOn w:val="Fuentedeprrafopredeter"/>
    <w:rsid w:val="005052A4"/>
  </w:style>
  <w:style w:type="character" w:customStyle="1" w:styleId="secondary-date">
    <w:name w:val="secondary-date"/>
    <w:basedOn w:val="Fuentedeprrafopredeter"/>
    <w:rsid w:val="005052A4"/>
  </w:style>
  <w:style w:type="character" w:customStyle="1" w:styleId="authors-list-item">
    <w:name w:val="authors-list-item"/>
    <w:basedOn w:val="Fuentedeprrafopredeter"/>
    <w:rsid w:val="005052A4"/>
  </w:style>
  <w:style w:type="character" w:customStyle="1" w:styleId="author-sup-separator">
    <w:name w:val="author-sup-separator"/>
    <w:basedOn w:val="Fuentedeprrafopredeter"/>
    <w:rsid w:val="005052A4"/>
  </w:style>
  <w:style w:type="character" w:customStyle="1" w:styleId="comma">
    <w:name w:val="comma"/>
    <w:basedOn w:val="Fuentedeprrafopredeter"/>
    <w:rsid w:val="005052A4"/>
  </w:style>
  <w:style w:type="character" w:customStyle="1" w:styleId="identifier">
    <w:name w:val="identifier"/>
    <w:basedOn w:val="Fuentedeprrafopredeter"/>
    <w:rsid w:val="005052A4"/>
  </w:style>
  <w:style w:type="character" w:customStyle="1" w:styleId="id-label">
    <w:name w:val="id-label"/>
    <w:basedOn w:val="Fuentedeprrafopredeter"/>
    <w:rsid w:val="005052A4"/>
  </w:style>
  <w:style w:type="character" w:styleId="Textoennegrita">
    <w:name w:val="Strong"/>
    <w:basedOn w:val="Fuentedeprrafopredeter"/>
    <w:uiPriority w:val="22"/>
    <w:qFormat/>
    <w:rsid w:val="005052A4"/>
    <w:rPr>
      <w:b/>
      <w:bCs/>
    </w:rPr>
  </w:style>
  <w:style w:type="character" w:customStyle="1" w:styleId="free-label">
    <w:name w:val="free-label"/>
    <w:basedOn w:val="Fuentedeprrafopredeter"/>
    <w:rsid w:val="005052A4"/>
  </w:style>
  <w:style w:type="paragraph" w:styleId="NormalWeb">
    <w:name w:val="Normal (Web)"/>
    <w:basedOn w:val="Normal"/>
    <w:uiPriority w:val="99"/>
    <w:unhideWhenUsed/>
    <w:rsid w:val="005052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052A4"/>
    <w:rPr>
      <w:color w:val="800080" w:themeColor="followedHyperlink"/>
      <w:u w:val="single"/>
    </w:rPr>
  </w:style>
  <w:style w:type="character" w:customStyle="1" w:styleId="ahead-of-print">
    <w:name w:val="ahead-of-print"/>
    <w:basedOn w:val="Fuentedeprrafopredeter"/>
    <w:rsid w:val="005052A4"/>
  </w:style>
  <w:style w:type="character" w:styleId="nfasis">
    <w:name w:val="Emphasis"/>
    <w:basedOn w:val="Fuentedeprrafopredeter"/>
    <w:uiPriority w:val="20"/>
    <w:qFormat/>
    <w:rsid w:val="005052A4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97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7B3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97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7B3"/>
    <w:rPr>
      <w:rFonts w:eastAsiaTheme="minorHAns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7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7B3"/>
    <w:rPr>
      <w:rFonts w:ascii="Lucida Grande" w:eastAsiaTheme="minorHAnsi" w:hAnsi="Lucida Grande"/>
      <w:sz w:val="18"/>
      <w:szCs w:val="18"/>
      <w:lang w:val="es-ES" w:eastAsia="en-US"/>
    </w:rPr>
  </w:style>
  <w:style w:type="paragraph" w:customStyle="1" w:styleId="copyright">
    <w:name w:val="copyright"/>
    <w:basedOn w:val="Normal"/>
    <w:rsid w:val="001149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equal-contrib">
    <w:name w:val="equal-contrib"/>
    <w:basedOn w:val="Fuentedeprrafopredeter"/>
    <w:rsid w:val="00A772D4"/>
  </w:style>
  <w:style w:type="character" w:customStyle="1" w:styleId="Ttulo3Car">
    <w:name w:val="Título 3 Car"/>
    <w:basedOn w:val="Fuentedeprrafopredeter"/>
    <w:link w:val="Ttulo3"/>
    <w:uiPriority w:val="9"/>
    <w:semiHidden/>
    <w:rsid w:val="00D1287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customStyle="1" w:styleId="Puesto1">
    <w:name w:val="Puesto1"/>
    <w:basedOn w:val="Fuentedeprrafopredeter"/>
    <w:rsid w:val="00395363"/>
  </w:style>
  <w:style w:type="character" w:customStyle="1" w:styleId="button-label">
    <w:name w:val="button-label"/>
    <w:basedOn w:val="Fuentedeprrafopredeter"/>
    <w:rsid w:val="00D73D33"/>
  </w:style>
  <w:style w:type="character" w:customStyle="1" w:styleId="embargo-date-block">
    <w:name w:val="embargo-date-block"/>
    <w:basedOn w:val="Fuentedeprrafopredeter"/>
    <w:rsid w:val="00A160C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gGnu2Z7+t9RNdbTup3/vQ64skw==">AMUW2mViE/y/QDVl9tDet0SvPQMEklOJYkm6Ae8CfqZsWAKL261A9MBf+ZbuEtebTP56BWMuGBHBp/q2QHZgmLPiZTtpQwoQJp71DoYtV7vl2QZivZSdIWttBTksWIKFOp4QwzMKy5fHBhXM3Ed3U5xeoLM0eTmrbpBjx3nPsFhXTd48PuDY1/AZqbLUDLoDgN5TBdXX0TCsdkamr8u0MT2LlqeBdxNUSaVKC9M4Wt4TcNCzgFC6rw5M/M3ORf3cJg5ZN8PJei4ycU4pWvk7GafXMiCqW866QrpdDrffDPCZbn8nC78lVtEDzl5ci5Utxy3ZQ2794e3Of9oUFOPyO4lRvQFX3WWAExtlevv5rOo0gnQbisXiSlCcVecvhC8WnnwDFemZi9rFTzgaGSs/CYbk/i1U7UYt704ifTpNg8fD3jOWri/1Ya+0Nl9nV4QJ7c7hKDj51rAzMbWrX4mw15c9iH53qD+7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Cabrales</dc:creator>
  <cp:lastModifiedBy>TRANSPARENCIA</cp:lastModifiedBy>
  <cp:revision>3</cp:revision>
  <dcterms:created xsi:type="dcterms:W3CDTF">2022-09-06T16:55:00Z</dcterms:created>
  <dcterms:modified xsi:type="dcterms:W3CDTF">2023-05-15T21:15:00Z</dcterms:modified>
</cp:coreProperties>
</file>